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76BF"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06B42FCE"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Информация към тримесечен финансов отчет на „</w:t>
      </w:r>
      <w:r w:rsidR="003E109E" w:rsidRPr="003E109E">
        <w:rPr>
          <w:rFonts w:asciiTheme="minorHAnsi" w:hAnsiTheme="minorHAnsi" w:cstheme="minorHAnsi"/>
          <w:sz w:val="20"/>
          <w:szCs w:val="20"/>
        </w:rPr>
        <w:t>Компас Фонд за Вземания</w:t>
      </w:r>
      <w:r w:rsidRPr="003E109E">
        <w:rPr>
          <w:rFonts w:asciiTheme="minorHAnsi" w:hAnsiTheme="minorHAnsi" w:cstheme="minorHAnsi"/>
          <w:sz w:val="20"/>
          <w:szCs w:val="20"/>
        </w:rPr>
        <w:t>“ АДСИЦ от 01.10.202</w:t>
      </w:r>
      <w:r w:rsidR="00854310">
        <w:rPr>
          <w:rFonts w:asciiTheme="minorHAnsi" w:hAnsiTheme="minorHAnsi" w:cstheme="minorHAnsi"/>
          <w:sz w:val="20"/>
          <w:szCs w:val="20"/>
        </w:rPr>
        <w:t>2</w:t>
      </w:r>
      <w:r w:rsidRPr="003E109E">
        <w:rPr>
          <w:rFonts w:asciiTheme="minorHAnsi" w:hAnsiTheme="minorHAnsi" w:cstheme="minorHAnsi"/>
          <w:sz w:val="20"/>
          <w:szCs w:val="20"/>
        </w:rPr>
        <w:t xml:space="preserve"> г. до 31.12.202</w:t>
      </w:r>
      <w:r w:rsidR="00854310">
        <w:rPr>
          <w:rFonts w:asciiTheme="minorHAnsi" w:hAnsiTheme="minorHAnsi" w:cstheme="minorHAnsi"/>
          <w:sz w:val="20"/>
          <w:szCs w:val="20"/>
        </w:rPr>
        <w:t>2</w:t>
      </w:r>
      <w:r w:rsidRPr="003E109E">
        <w:rPr>
          <w:rFonts w:asciiTheme="minorHAnsi" w:hAnsiTheme="minorHAnsi" w:cstheme="minorHAnsi"/>
          <w:sz w:val="20"/>
          <w:szCs w:val="20"/>
        </w:rPr>
        <w:t xml:space="preserve"> г. и с натрупване от 01.01.202</w:t>
      </w:r>
      <w:r w:rsidR="00854310">
        <w:rPr>
          <w:rFonts w:asciiTheme="minorHAnsi" w:hAnsiTheme="minorHAnsi" w:cstheme="minorHAnsi"/>
          <w:sz w:val="20"/>
          <w:szCs w:val="20"/>
        </w:rPr>
        <w:t>2</w:t>
      </w:r>
      <w:r w:rsidRPr="003E109E">
        <w:rPr>
          <w:rFonts w:asciiTheme="minorHAnsi" w:hAnsiTheme="minorHAnsi" w:cstheme="minorHAnsi"/>
          <w:sz w:val="20"/>
          <w:szCs w:val="20"/>
        </w:rPr>
        <w:t xml:space="preserve"> г. до 31.12.202</w:t>
      </w:r>
      <w:r w:rsidR="00854310">
        <w:rPr>
          <w:rFonts w:asciiTheme="minorHAnsi" w:hAnsiTheme="minorHAnsi" w:cstheme="minorHAnsi"/>
          <w:sz w:val="20"/>
          <w:szCs w:val="20"/>
        </w:rPr>
        <w:t>2</w:t>
      </w:r>
      <w:r w:rsidRPr="003E109E">
        <w:rPr>
          <w:rFonts w:asciiTheme="minorHAnsi" w:hAnsiTheme="minorHAnsi" w:cstheme="minorHAnsi"/>
          <w:sz w:val="20"/>
          <w:szCs w:val="20"/>
        </w:rPr>
        <w:t xml:space="preserve"> г.</w:t>
      </w:r>
    </w:p>
    <w:p w14:paraId="2434B303"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14C43057" w14:textId="77777777" w:rsidR="00E57C3C" w:rsidRPr="003E109E" w:rsidRDefault="00E57C3C" w:rsidP="008A2F35">
      <w:pPr>
        <w:pStyle w:val="BodyText"/>
        <w:spacing w:before="90"/>
        <w:ind w:left="1021" w:right="572"/>
        <w:rPr>
          <w:rFonts w:asciiTheme="minorHAnsi" w:hAnsiTheme="minorHAnsi" w:cstheme="minorHAnsi"/>
          <w:sz w:val="20"/>
          <w:szCs w:val="20"/>
        </w:rPr>
      </w:pPr>
      <w:r w:rsidRPr="003E109E">
        <w:rPr>
          <w:rFonts w:asciiTheme="minorHAnsi" w:hAnsiTheme="minorHAnsi" w:cstheme="minorHAnsi"/>
          <w:sz w:val="20"/>
          <w:szCs w:val="20"/>
        </w:rPr>
        <w:t xml:space="preserve"> 1.1.  Промяна на лицата, упражняващи контрол върху Дружеството.</w:t>
      </w:r>
    </w:p>
    <w:p w14:paraId="4FD18173" w14:textId="77777777" w:rsidR="008A2F35"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008A2F35" w:rsidRPr="00631C30">
        <w:rPr>
          <w:rFonts w:asciiTheme="minorHAnsi" w:hAnsiTheme="minorHAnsi" w:cstheme="minorHAnsi"/>
          <w:b w:val="0"/>
          <w:bCs w:val="0"/>
          <w:sz w:val="20"/>
          <w:szCs w:val="20"/>
        </w:rPr>
        <w:t>С вписване 250220905074549 в ТРРЮЛНЦ към Агенция по вписванията е вписано решение на  Общо събрание на акционерите на „Компас Фонд за вземания“ АДСИЦ за промяна в Съвета на директорите  – заличен е Драгомир Христов Великов  като член на СД и на негово място е вписан Алексей Алипиев Георгиев.</w:t>
      </w:r>
      <w:r w:rsidRPr="00631C30">
        <w:rPr>
          <w:rFonts w:asciiTheme="minorHAnsi" w:hAnsiTheme="minorHAnsi" w:cstheme="minorHAnsi"/>
          <w:b w:val="0"/>
          <w:bCs w:val="0"/>
          <w:sz w:val="20"/>
          <w:szCs w:val="20"/>
        </w:rPr>
        <w:t xml:space="preserve">  </w:t>
      </w:r>
    </w:p>
    <w:p w14:paraId="5625FEEF" w14:textId="5CD37946" w:rsidR="00E57C3C" w:rsidRPr="003E109E" w:rsidRDefault="008A2F35" w:rsidP="00E57C3C">
      <w:pPr>
        <w:pStyle w:val="BodyText"/>
        <w:spacing w:before="90"/>
        <w:ind w:left="1021" w:right="572" w:hanging="200"/>
        <w:rPr>
          <w:rFonts w:asciiTheme="minorHAnsi" w:hAnsiTheme="minorHAnsi" w:cstheme="minorHAnsi"/>
          <w:sz w:val="20"/>
          <w:szCs w:val="20"/>
        </w:rPr>
      </w:pPr>
      <w:r>
        <w:rPr>
          <w:rFonts w:asciiTheme="minorHAnsi" w:hAnsiTheme="minorHAnsi" w:cstheme="minorHAnsi"/>
          <w:sz w:val="20"/>
          <w:szCs w:val="20"/>
        </w:rPr>
        <w:t xml:space="preserve"> </w:t>
      </w:r>
      <w:r w:rsidR="00E57C3C" w:rsidRPr="003E109E">
        <w:rPr>
          <w:rFonts w:asciiTheme="minorHAnsi" w:hAnsiTheme="minorHAnsi" w:cstheme="minorHAnsi"/>
          <w:sz w:val="20"/>
          <w:szCs w:val="20"/>
        </w:rPr>
        <w:t xml:space="preserve">   1.2.  Откриване на производство по несъстоятелност за Дружеството или за</w:t>
      </w:r>
      <w:r w:rsidR="00631C30">
        <w:rPr>
          <w:rFonts w:asciiTheme="minorHAnsi" w:hAnsiTheme="minorHAnsi" w:cstheme="minorHAnsi"/>
          <w:sz w:val="20"/>
          <w:szCs w:val="20"/>
        </w:rPr>
        <w:t xml:space="preserve"> </w:t>
      </w:r>
      <w:r w:rsidR="00E57C3C" w:rsidRPr="003E109E">
        <w:rPr>
          <w:rFonts w:asciiTheme="minorHAnsi" w:hAnsiTheme="minorHAnsi" w:cstheme="minorHAnsi"/>
          <w:sz w:val="20"/>
          <w:szCs w:val="20"/>
        </w:rPr>
        <w:t>негово дъщерно дружество и всички съществени етапи, свързани с производството.</w:t>
      </w:r>
    </w:p>
    <w:p w14:paraId="0AB1F9BC" w14:textId="77777777" w:rsidR="00E57C3C"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Pr="00631C30">
        <w:rPr>
          <w:rFonts w:asciiTheme="minorHAnsi" w:hAnsiTheme="minorHAnsi" w:cstheme="minorHAnsi"/>
          <w:b w:val="0"/>
          <w:bCs w:val="0"/>
          <w:sz w:val="20"/>
          <w:szCs w:val="20"/>
        </w:rPr>
        <w:t>Не е откривано производство по несъстоятелност на Дружеството.</w:t>
      </w:r>
    </w:p>
    <w:p w14:paraId="68C64BC7"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1.3. Сключване или изпълнение на съществени сделки.</w:t>
      </w:r>
    </w:p>
    <w:p w14:paraId="1A561120" w14:textId="53CF91F9" w:rsidR="00E57C3C" w:rsidRPr="00631C30" w:rsidRDefault="00E57C3C" w:rsidP="00631C30">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t xml:space="preserve"> </w:t>
      </w:r>
      <w:r w:rsidR="00631C30" w:rsidRPr="00631C30">
        <w:rPr>
          <w:rFonts w:asciiTheme="minorHAnsi" w:hAnsiTheme="minorHAnsi" w:cstheme="minorHAnsi"/>
          <w:b w:val="0"/>
          <w:bCs w:val="0"/>
          <w:sz w:val="20"/>
          <w:szCs w:val="20"/>
        </w:rPr>
        <w:t xml:space="preserve">На </w:t>
      </w:r>
      <w:r w:rsidR="009042EF">
        <w:rPr>
          <w:rFonts w:asciiTheme="minorHAnsi" w:hAnsiTheme="minorHAnsi" w:cstheme="minorHAnsi"/>
          <w:b w:val="0"/>
          <w:bCs w:val="0"/>
          <w:sz w:val="20"/>
          <w:szCs w:val="20"/>
        </w:rPr>
        <w:t xml:space="preserve">09.11.2022 г. Дружеството </w:t>
      </w:r>
      <w:r w:rsidR="00631C30" w:rsidRPr="00631C30">
        <w:rPr>
          <w:rFonts w:asciiTheme="minorHAnsi" w:hAnsiTheme="minorHAnsi" w:cstheme="minorHAnsi"/>
          <w:b w:val="0"/>
          <w:bCs w:val="0"/>
          <w:sz w:val="20"/>
          <w:szCs w:val="20"/>
        </w:rPr>
        <w:t xml:space="preserve"> подписа договор за покупка на вземане на стойност</w:t>
      </w:r>
      <w:r w:rsidR="009042EF">
        <w:rPr>
          <w:rFonts w:asciiTheme="minorHAnsi" w:hAnsiTheme="minorHAnsi" w:cstheme="minorHAnsi"/>
          <w:b w:val="0"/>
          <w:bCs w:val="0"/>
          <w:sz w:val="20"/>
          <w:szCs w:val="20"/>
        </w:rPr>
        <w:t xml:space="preserve"> </w:t>
      </w:r>
      <w:r w:rsidR="00631C30" w:rsidRPr="00631C30">
        <w:rPr>
          <w:rFonts w:asciiTheme="minorHAnsi" w:hAnsiTheme="minorHAnsi" w:cstheme="minorHAnsi"/>
          <w:b w:val="0"/>
          <w:bCs w:val="0"/>
          <w:sz w:val="20"/>
          <w:szCs w:val="20"/>
        </w:rPr>
        <w:t>535 000.00 лева съгласно договор за цесия с „Блексий Ритейл Инвест“ АД,  ЕИК 203174990.</w:t>
      </w:r>
    </w:p>
    <w:p w14:paraId="6FB3FB22" w14:textId="2DAA8C3B"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1.4. Решение за сключване, прекратяване и разваляне на договор за</w:t>
      </w:r>
      <w:r w:rsidR="00631C30">
        <w:rPr>
          <w:rFonts w:asciiTheme="minorHAnsi" w:hAnsiTheme="minorHAnsi" w:cstheme="minorHAnsi"/>
          <w:sz w:val="20"/>
          <w:szCs w:val="20"/>
        </w:rPr>
        <w:t xml:space="preserve"> </w:t>
      </w:r>
      <w:r w:rsidRPr="003E109E">
        <w:rPr>
          <w:rFonts w:asciiTheme="minorHAnsi" w:hAnsiTheme="minorHAnsi" w:cstheme="minorHAnsi"/>
          <w:sz w:val="20"/>
          <w:szCs w:val="20"/>
        </w:rPr>
        <w:t>съвместно предприятие.</w:t>
      </w:r>
    </w:p>
    <w:p w14:paraId="66B63A11" w14:textId="77777777" w:rsidR="00E57C3C"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Pr="00631C30">
        <w:rPr>
          <w:rFonts w:asciiTheme="minorHAnsi" w:hAnsiTheme="minorHAnsi" w:cstheme="minorHAnsi"/>
          <w:b w:val="0"/>
          <w:bCs w:val="0"/>
          <w:sz w:val="20"/>
          <w:szCs w:val="20"/>
        </w:rPr>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1.5.  Промяна на одиторите на Дружеството и причини за промяната.</w:t>
      </w:r>
    </w:p>
    <w:p w14:paraId="2D38FCEB" w14:textId="77777777" w:rsidR="00E57C3C"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Pr="00631C30">
        <w:rPr>
          <w:rFonts w:asciiTheme="minorHAnsi" w:hAnsiTheme="minorHAnsi" w:cstheme="minorHAnsi"/>
          <w:b w:val="0"/>
          <w:bCs w:val="0"/>
          <w:sz w:val="20"/>
          <w:szCs w:val="20"/>
        </w:rPr>
        <w:t xml:space="preserve">Няма такава.  </w:t>
      </w:r>
    </w:p>
    <w:p w14:paraId="7E4B96E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Pr="00631C30">
        <w:rPr>
          <w:rFonts w:asciiTheme="minorHAnsi" w:hAnsiTheme="minorHAnsi" w:cstheme="minorHAnsi"/>
          <w:b w:val="0"/>
          <w:bCs w:val="0"/>
          <w:sz w:val="20"/>
          <w:szCs w:val="20"/>
        </w:rPr>
        <w:t>През отчетния период няма настъпили такива обстоятелства.</w:t>
      </w:r>
    </w:p>
    <w:p w14:paraId="7C731B9A"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Pr="00631C30">
        <w:rPr>
          <w:rFonts w:asciiTheme="minorHAnsi" w:hAnsiTheme="minorHAnsi" w:cstheme="minorHAnsi"/>
          <w:b w:val="0"/>
          <w:bCs w:val="0"/>
          <w:sz w:val="20"/>
          <w:szCs w:val="20"/>
        </w:rPr>
        <w:t>През отчетния период няма настъпили такива обстоятелства.</w:t>
      </w:r>
    </w:p>
    <w:p w14:paraId="29D68AB9"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26949401" w14:textId="77777777" w:rsidR="00E57C3C" w:rsidRPr="00631C30" w:rsidRDefault="00E57C3C" w:rsidP="00E57C3C">
      <w:pPr>
        <w:pStyle w:val="BodyText"/>
        <w:spacing w:before="90"/>
        <w:ind w:left="1021" w:right="572" w:hanging="200"/>
        <w:rPr>
          <w:rFonts w:asciiTheme="minorHAnsi" w:hAnsiTheme="minorHAnsi" w:cstheme="minorHAnsi"/>
          <w:b w:val="0"/>
          <w:bCs w:val="0"/>
          <w:sz w:val="20"/>
          <w:szCs w:val="20"/>
        </w:rPr>
      </w:pPr>
      <w:r w:rsidRPr="003E109E">
        <w:rPr>
          <w:rFonts w:asciiTheme="minorHAnsi" w:hAnsiTheme="minorHAnsi" w:cstheme="minorHAnsi"/>
          <w:sz w:val="20"/>
          <w:szCs w:val="20"/>
        </w:rPr>
        <w:tab/>
      </w:r>
      <w:r w:rsidRPr="00631C30">
        <w:rPr>
          <w:rFonts w:asciiTheme="minorHAnsi" w:hAnsiTheme="minorHAnsi" w:cstheme="minorHAnsi"/>
          <w:b w:val="0"/>
          <w:bCs w:val="0"/>
          <w:sz w:val="20"/>
          <w:szCs w:val="20"/>
        </w:rPr>
        <w:t>Няма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2CFEB811"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42E82583" w14:textId="77777777" w:rsidR="00E57C3C" w:rsidRPr="003E109E" w:rsidRDefault="00E57C3C" w:rsidP="00E57C3C">
      <w:pPr>
        <w:pStyle w:val="BodyText"/>
        <w:spacing w:before="90"/>
        <w:ind w:left="1021" w:right="572" w:hanging="200"/>
        <w:rPr>
          <w:rFonts w:asciiTheme="minorHAnsi" w:hAnsiTheme="minorHAnsi" w:cstheme="minorHAnsi"/>
          <w:sz w:val="20"/>
          <w:szCs w:val="20"/>
        </w:rPr>
      </w:pPr>
    </w:p>
    <w:p w14:paraId="5EF3FB6A" w14:textId="369AD98B" w:rsidR="00E57C3C"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2</w:t>
      </w:r>
      <w:r w:rsidR="00631C30">
        <w:rPr>
          <w:rFonts w:asciiTheme="minorHAnsi" w:hAnsiTheme="minorHAnsi" w:cstheme="minorHAnsi"/>
          <w:sz w:val="20"/>
          <w:szCs w:val="20"/>
        </w:rPr>
        <w:t>4</w:t>
      </w:r>
      <w:r w:rsidRPr="003E109E">
        <w:rPr>
          <w:rFonts w:asciiTheme="minorHAnsi" w:hAnsiTheme="minorHAnsi" w:cstheme="minorHAnsi"/>
          <w:sz w:val="20"/>
          <w:szCs w:val="20"/>
        </w:rPr>
        <w:t>.01.202</w:t>
      </w:r>
      <w:r w:rsidR="00854310">
        <w:rPr>
          <w:rFonts w:asciiTheme="minorHAnsi" w:hAnsiTheme="minorHAnsi" w:cstheme="minorHAnsi"/>
          <w:sz w:val="20"/>
          <w:szCs w:val="20"/>
        </w:rPr>
        <w:t>3</w:t>
      </w:r>
      <w:r w:rsidRPr="003E109E">
        <w:rPr>
          <w:rFonts w:asciiTheme="minorHAnsi" w:hAnsiTheme="minorHAnsi" w:cstheme="minorHAnsi"/>
          <w:sz w:val="20"/>
          <w:szCs w:val="20"/>
        </w:rPr>
        <w:t xml:space="preserve"> г.         </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Изпълнителен директор: _____________________</w:t>
      </w:r>
    </w:p>
    <w:p w14:paraId="0275AEF7" w14:textId="0B1F96CB" w:rsidR="00981269" w:rsidRPr="003E109E" w:rsidRDefault="00E57C3C" w:rsidP="00E57C3C">
      <w:pPr>
        <w:pStyle w:val="BodyText"/>
        <w:spacing w:before="90"/>
        <w:ind w:left="1021" w:right="572" w:hanging="200"/>
        <w:rPr>
          <w:rFonts w:asciiTheme="minorHAnsi" w:hAnsiTheme="minorHAnsi" w:cstheme="minorHAnsi"/>
          <w:sz w:val="20"/>
          <w:szCs w:val="20"/>
        </w:rPr>
      </w:pPr>
      <w:r w:rsidRPr="003E109E">
        <w:rPr>
          <w:rFonts w:asciiTheme="minorHAnsi" w:hAnsiTheme="minorHAnsi" w:cstheme="minorHAnsi"/>
          <w:sz w:val="20"/>
          <w:szCs w:val="20"/>
        </w:rPr>
        <w:t>гр. София</w:t>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r>
      <w:r w:rsidRPr="003E109E">
        <w:rPr>
          <w:rFonts w:asciiTheme="minorHAnsi" w:hAnsiTheme="minorHAnsi" w:cstheme="minorHAnsi"/>
          <w:sz w:val="20"/>
          <w:szCs w:val="20"/>
        </w:rPr>
        <w:tab/>
        <w:t xml:space="preserve">                                </w:t>
      </w:r>
      <w:r w:rsidR="003E109E" w:rsidRPr="003E109E">
        <w:rPr>
          <w:rFonts w:asciiTheme="minorHAnsi" w:hAnsiTheme="minorHAnsi" w:cstheme="minorHAnsi"/>
          <w:sz w:val="20"/>
          <w:szCs w:val="20"/>
        </w:rPr>
        <w:t>Иван Пирински</w:t>
      </w:r>
    </w:p>
    <w:sectPr w:rsidR="00981269" w:rsidRPr="003E109E" w:rsidSect="00981269">
      <w:headerReference w:type="default" r:id="rId6"/>
      <w:footerReference w:type="default" r:id="rId7"/>
      <w:type w:val="continuous"/>
      <w:pgSz w:w="16850" w:h="11910" w:orient="landscape"/>
      <w:pgMar w:top="851" w:right="690" w:bottom="280" w:left="680" w:header="284"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F9E2" w14:textId="2E311D4F" w:rsidR="00A91195" w:rsidRPr="00E57C3C" w:rsidRDefault="00A91195" w:rsidP="00A91195">
    <w:pPr>
      <w:tabs>
        <w:tab w:val="center" w:pos="4536"/>
        <w:tab w:val="right" w:pos="9072"/>
      </w:tabs>
      <w:rPr>
        <w:rFonts w:asciiTheme="minorHAnsi" w:hAnsiTheme="minorHAnsi" w:cstheme="minorHAnsi"/>
        <w:sz w:val="32"/>
        <w:szCs w:val="32"/>
        <w:lang w:eastAsia="en-US" w:bidi="ar-SA"/>
      </w:rPr>
    </w:pPr>
    <w:r w:rsidRPr="00E57C3C">
      <w:rPr>
        <w:rFonts w:asciiTheme="minorHAnsi" w:hAnsiTheme="minorHAnsi" w:cstheme="minorHAnsi"/>
        <w:sz w:val="32"/>
        <w:szCs w:val="32"/>
        <w:lang w:eastAsia="en-US" w:bidi="ar-SA"/>
      </w:rPr>
      <w:t xml:space="preserve">Компас Фонд за </w:t>
    </w:r>
    <w:r w:rsidR="003E109E">
      <w:rPr>
        <w:rFonts w:asciiTheme="minorHAnsi" w:hAnsiTheme="minorHAnsi" w:cstheme="minorHAnsi"/>
        <w:sz w:val="32"/>
        <w:szCs w:val="32"/>
        <w:lang w:eastAsia="en-US" w:bidi="ar-SA"/>
      </w:rPr>
      <w:t>В</w:t>
    </w:r>
    <w:r w:rsidRPr="00E57C3C">
      <w:rPr>
        <w:rFonts w:asciiTheme="minorHAnsi" w:hAnsiTheme="minorHAnsi" w:cstheme="minorHAnsi"/>
        <w:sz w:val="32"/>
        <w:szCs w:val="32"/>
        <w:lang w:eastAsia="en-US" w:bidi="ar-SA"/>
      </w:rPr>
      <w:t>земания АДСИЦ</w:t>
    </w:r>
  </w:p>
  <w:p w14:paraId="078FB65A" w14:textId="77777777"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145C2F"/>
    <w:rsid w:val="001A1AF2"/>
    <w:rsid w:val="00283102"/>
    <w:rsid w:val="00297596"/>
    <w:rsid w:val="00333913"/>
    <w:rsid w:val="003E109E"/>
    <w:rsid w:val="003F0EB8"/>
    <w:rsid w:val="00423784"/>
    <w:rsid w:val="00446387"/>
    <w:rsid w:val="004859DB"/>
    <w:rsid w:val="00486E45"/>
    <w:rsid w:val="00510FFC"/>
    <w:rsid w:val="005168BE"/>
    <w:rsid w:val="00557E14"/>
    <w:rsid w:val="005D633E"/>
    <w:rsid w:val="00631C30"/>
    <w:rsid w:val="006440A4"/>
    <w:rsid w:val="00650D81"/>
    <w:rsid w:val="00711C01"/>
    <w:rsid w:val="007767B8"/>
    <w:rsid w:val="00780E9B"/>
    <w:rsid w:val="00834EE9"/>
    <w:rsid w:val="0084360D"/>
    <w:rsid w:val="00854310"/>
    <w:rsid w:val="008A2F35"/>
    <w:rsid w:val="008E7785"/>
    <w:rsid w:val="009042EF"/>
    <w:rsid w:val="00906559"/>
    <w:rsid w:val="00981269"/>
    <w:rsid w:val="00981567"/>
    <w:rsid w:val="009E5272"/>
    <w:rsid w:val="00A3167F"/>
    <w:rsid w:val="00A91195"/>
    <w:rsid w:val="00AB751F"/>
    <w:rsid w:val="00AC56FE"/>
    <w:rsid w:val="00BC5E40"/>
    <w:rsid w:val="00C433EC"/>
    <w:rsid w:val="00C50F24"/>
    <w:rsid w:val="00C92FE7"/>
    <w:rsid w:val="00D00761"/>
    <w:rsid w:val="00D0604B"/>
    <w:rsid w:val="00D22D7C"/>
    <w:rsid w:val="00E57C3C"/>
    <w:rsid w:val="00EF180B"/>
    <w:rsid w:val="00F801B1"/>
    <w:rsid w:val="00FA17AD"/>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Valentin Stoilov</cp:lastModifiedBy>
  <cp:revision>6</cp:revision>
  <dcterms:created xsi:type="dcterms:W3CDTF">2022-01-25T14:32:00Z</dcterms:created>
  <dcterms:modified xsi:type="dcterms:W3CDTF">2023-01-25T10:33:00Z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